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51F85" w14:textId="77777777" w:rsidR="00FC5595" w:rsidRDefault="005F44EA" w:rsidP="00C468A9">
      <w:pPr>
        <w:pStyle w:val="Title"/>
        <w:spacing w:after="360"/>
        <w:contextualSpacing w:val="0"/>
      </w:pPr>
      <w:bookmarkStart w:id="0" w:name="_GoBack"/>
      <w:bookmarkEnd w:id="0"/>
      <w:r>
        <w:rPr>
          <w:noProof/>
          <w:lang w:eastAsia="en-AU"/>
        </w:rPr>
        <w:drawing>
          <wp:inline distT="0" distB="0" distL="0" distR="0" wp14:anchorId="4E41B22D" wp14:editId="7E19F099">
            <wp:extent cx="2011854" cy="469433"/>
            <wp:effectExtent l="0" t="0" r="7620" b="6985"/>
            <wp:docPr id="2" name="Picture 2" descr="Black text on a white background reads &quot;Guide Dogs.&quot;" title="Guide Do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e Dogs linear logo.png"/>
                    <pic:cNvPicPr/>
                  </pic:nvPicPr>
                  <pic:blipFill>
                    <a:blip r:embed="rId10">
                      <a:extLst>
                        <a:ext uri="{28A0092B-C50C-407E-A947-70E740481C1C}">
                          <a14:useLocalDpi xmlns:a14="http://schemas.microsoft.com/office/drawing/2010/main" val="0"/>
                        </a:ext>
                      </a:extLst>
                    </a:blip>
                    <a:stretch>
                      <a:fillRect/>
                    </a:stretch>
                  </pic:blipFill>
                  <pic:spPr>
                    <a:xfrm>
                      <a:off x="0" y="0"/>
                      <a:ext cx="2011854" cy="469433"/>
                    </a:xfrm>
                    <a:prstGeom prst="rect">
                      <a:avLst/>
                    </a:prstGeom>
                  </pic:spPr>
                </pic:pic>
              </a:graphicData>
            </a:graphic>
          </wp:inline>
        </w:drawing>
      </w:r>
    </w:p>
    <w:p w14:paraId="5C040F88" w14:textId="130B3BEF" w:rsidR="00BC1F93" w:rsidRDefault="00BC1F93" w:rsidP="00BC1F93">
      <w:pPr>
        <w:pStyle w:val="Heading1"/>
      </w:pPr>
      <w:r w:rsidRPr="00BC1F93">
        <w:t>Vaccination Information Guide</w:t>
      </w:r>
    </w:p>
    <w:p w14:paraId="68B2BADA" w14:textId="69BC1970" w:rsidR="00BC1F93" w:rsidRDefault="00BC1F93" w:rsidP="00BC1F93">
      <w:r w:rsidRPr="008B2361">
        <w:t>V</w:t>
      </w:r>
      <w:r>
        <w:t xml:space="preserve">accinations </w:t>
      </w:r>
      <w:r w:rsidRPr="008B2361">
        <w:t xml:space="preserve">provide our pups with immunity from a range of infectious diseases that can affect both humans and animals. It </w:t>
      </w:r>
      <w:r>
        <w:t>is very important to ensure that your pup is appropriately protected against the core diseases (Parvovirus, Hepatitis and Distemper Virus) and that an intranasal vaccination for kennel cough is given to stimulate a rapid local mucosal immunity.</w:t>
      </w:r>
    </w:p>
    <w:p w14:paraId="7028C131" w14:textId="77777777" w:rsidR="00BC1F93" w:rsidRDefault="00BC1F93" w:rsidP="00BC1F93"/>
    <w:p w14:paraId="2BB72160" w14:textId="4B8DE888" w:rsidR="00BC1F93" w:rsidRDefault="00BC1F93" w:rsidP="00BC1F93">
      <w:pPr>
        <w:rPr>
          <w:rFonts w:cs="Arial"/>
        </w:rPr>
      </w:pPr>
      <w:r>
        <w:rPr>
          <w:rFonts w:cs="Arial"/>
        </w:rPr>
        <w:t>Your pup has already received its first vaccination at the Guide Dog Centre a</w:t>
      </w:r>
      <w:r w:rsidRPr="007E40A8">
        <w:rPr>
          <w:rFonts w:cs="Arial"/>
        </w:rPr>
        <w:t xml:space="preserve">t the age of </w:t>
      </w:r>
      <w:r>
        <w:rPr>
          <w:rFonts w:cs="Arial"/>
        </w:rPr>
        <w:t>6</w:t>
      </w:r>
      <w:r w:rsidRPr="007E40A8">
        <w:rPr>
          <w:rFonts w:cs="Arial"/>
        </w:rPr>
        <w:t xml:space="preserve"> weeks. </w:t>
      </w:r>
      <w:r>
        <w:rPr>
          <w:rFonts w:cs="Arial"/>
        </w:rPr>
        <w:t>However, additional booster vaccinations are required at 10 weeks, and then again between 14 and 16 weeks. Following this, the pup will only require annual vaccinations to maintain its immunity. The annual vaccination will be performed at the Guide Dogs Centre when she comes in for assessment.</w:t>
      </w:r>
    </w:p>
    <w:p w14:paraId="1E1E7ADB" w14:textId="77777777" w:rsidR="00BC1F93" w:rsidRDefault="00BC1F93" w:rsidP="00BC1F93">
      <w:pPr>
        <w:rPr>
          <w:rFonts w:cs="Arial"/>
        </w:rPr>
      </w:pPr>
    </w:p>
    <w:p w14:paraId="2B883419" w14:textId="3727A5AE" w:rsidR="00BC1F93" w:rsidRDefault="00BC1F93" w:rsidP="00BC1F93">
      <w:pPr>
        <w:rPr>
          <w:rFonts w:cs="Arial"/>
        </w:rPr>
      </w:pPr>
      <w:r>
        <w:rPr>
          <w:rFonts w:cs="Arial"/>
        </w:rPr>
        <w:t xml:space="preserve">When you pick up your pup, you will also be collecting your pup’s vaccinations. </w:t>
      </w:r>
    </w:p>
    <w:p w14:paraId="070BDBCE" w14:textId="77777777" w:rsidR="00BC1F93" w:rsidRDefault="00BC1F93" w:rsidP="00BC1F93">
      <w:pPr>
        <w:rPr>
          <w:rFonts w:cs="Arial"/>
        </w:rPr>
      </w:pPr>
    </w:p>
    <w:p w14:paraId="3459A8C9" w14:textId="676570F7" w:rsidR="00BC1F93" w:rsidRDefault="00BC1F93" w:rsidP="00BC1F93">
      <w:pPr>
        <w:rPr>
          <w:rFonts w:cs="Arial"/>
          <w:b/>
          <w:lang w:val="en-US"/>
        </w:rPr>
      </w:pPr>
      <w:r w:rsidRPr="00FF02D6">
        <w:rPr>
          <w:rFonts w:cs="Arial"/>
          <w:b/>
          <w:lang w:val="en-US"/>
        </w:rPr>
        <w:t>It is important that the vaccinations are kept refrigerated until use</w:t>
      </w:r>
      <w:r>
        <w:rPr>
          <w:rFonts w:cs="Arial"/>
          <w:b/>
          <w:lang w:val="en-US"/>
        </w:rPr>
        <w:t xml:space="preserve">. </w:t>
      </w:r>
    </w:p>
    <w:p w14:paraId="39ABADF0" w14:textId="77777777" w:rsidR="00BC1F93" w:rsidRDefault="00BC1F93" w:rsidP="00BC1F93">
      <w:pPr>
        <w:rPr>
          <w:rFonts w:cs="Arial"/>
          <w:b/>
          <w:lang w:val="en-US"/>
        </w:rPr>
      </w:pPr>
    </w:p>
    <w:p w14:paraId="23435CDB" w14:textId="7842E9A6" w:rsidR="00BC1F93" w:rsidRDefault="00BC1F93" w:rsidP="00BC1F93">
      <w:pPr>
        <w:rPr>
          <w:rFonts w:cs="Arial"/>
        </w:rPr>
      </w:pPr>
      <w:r>
        <w:rPr>
          <w:rFonts w:cs="Arial"/>
          <w:lang w:val="en-US"/>
        </w:rPr>
        <w:t>P</w:t>
      </w:r>
      <w:r>
        <w:rPr>
          <w:rFonts w:cs="Arial"/>
        </w:rPr>
        <w:t xml:space="preserve">lease bring a cooler bag with an ice brick in it to the Guide Dog Centre for transport home, before placing in your fridge. </w:t>
      </w:r>
    </w:p>
    <w:p w14:paraId="3A0A6E48" w14:textId="77777777" w:rsidR="009F1A45" w:rsidRDefault="009F1A45" w:rsidP="00BC1F93">
      <w:pPr>
        <w:rPr>
          <w:rFonts w:cs="Arial"/>
          <w:lang w:val="en-US"/>
        </w:rPr>
      </w:pPr>
    </w:p>
    <w:p w14:paraId="6A4DF2C1" w14:textId="4285D0EC" w:rsidR="00BC1F93" w:rsidRDefault="00BC1F93" w:rsidP="00BC1F93">
      <w:r>
        <w:t>Please contact one of our Approved Vet</w:t>
      </w:r>
      <w:r w:rsidR="009F1A45">
        <w:t>erinary Clinics</w:t>
      </w:r>
      <w:r>
        <w:t xml:space="preserve"> to make an appointment for your pup’s vaccination, remembering to </w:t>
      </w:r>
      <w:r w:rsidRPr="00387717">
        <w:rPr>
          <w:rFonts w:cs="Arial"/>
          <w:lang w:val="en-US"/>
        </w:rPr>
        <w:t>keep the vaccines cool during travel to your Veterinarian</w:t>
      </w:r>
      <w:r>
        <w:t xml:space="preserve">. </w:t>
      </w:r>
    </w:p>
    <w:p w14:paraId="343CF188" w14:textId="77777777" w:rsidR="00BC1F93" w:rsidRPr="008B2361" w:rsidRDefault="00BC1F93" w:rsidP="00BC1F93"/>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uppy Vaccination Schedule"/>
        <w:tblDescription w:val="Column 1: Puppy age, Column 2: Vaccination details, Column 3: Diseases the vaccination protects against."/>
      </w:tblPr>
      <w:tblGrid>
        <w:gridCol w:w="1818"/>
        <w:gridCol w:w="4218"/>
        <w:gridCol w:w="4110"/>
      </w:tblGrid>
      <w:tr w:rsidR="00BC1F93" w:rsidRPr="007E40A8" w14:paraId="73D5FAC9" w14:textId="77777777" w:rsidTr="00BC1F93">
        <w:trPr>
          <w:trHeight w:val="403"/>
          <w:tblHeader/>
        </w:trPr>
        <w:tc>
          <w:tcPr>
            <w:tcW w:w="1818" w:type="dxa"/>
            <w:shd w:val="pct15" w:color="000000" w:fill="FFFFFF"/>
            <w:vAlign w:val="center"/>
          </w:tcPr>
          <w:p w14:paraId="7012969C" w14:textId="1A02E073" w:rsidR="00BC1F93" w:rsidRPr="00F31261" w:rsidRDefault="00BC1F93" w:rsidP="00690CF9">
            <w:pPr>
              <w:spacing w:line="240" w:lineRule="auto"/>
              <w:rPr>
                <w:rFonts w:cs="Arial"/>
                <w:b/>
                <w:szCs w:val="24"/>
              </w:rPr>
            </w:pPr>
            <w:r>
              <w:rPr>
                <w:rFonts w:cs="Arial"/>
                <w:b/>
                <w:szCs w:val="24"/>
              </w:rPr>
              <w:t>Pup’s Age</w:t>
            </w:r>
          </w:p>
        </w:tc>
        <w:tc>
          <w:tcPr>
            <w:tcW w:w="4218" w:type="dxa"/>
            <w:shd w:val="pct15" w:color="000000" w:fill="FFFFFF"/>
            <w:vAlign w:val="center"/>
          </w:tcPr>
          <w:p w14:paraId="1428DD4E" w14:textId="38392907" w:rsidR="00BC1F93" w:rsidRPr="00F31261" w:rsidRDefault="00BC1F93" w:rsidP="00690CF9">
            <w:pPr>
              <w:spacing w:line="240" w:lineRule="auto"/>
              <w:rPr>
                <w:rFonts w:cs="Arial"/>
                <w:b/>
                <w:szCs w:val="24"/>
              </w:rPr>
            </w:pPr>
            <w:r>
              <w:rPr>
                <w:rFonts w:cs="Arial"/>
                <w:b/>
                <w:szCs w:val="24"/>
              </w:rPr>
              <w:t>Vaccination</w:t>
            </w:r>
          </w:p>
        </w:tc>
        <w:tc>
          <w:tcPr>
            <w:tcW w:w="4110" w:type="dxa"/>
            <w:shd w:val="pct15" w:color="000000" w:fill="FFFFFF"/>
            <w:vAlign w:val="center"/>
          </w:tcPr>
          <w:p w14:paraId="7EBEABE9" w14:textId="3365F96E" w:rsidR="00BC1F93" w:rsidRPr="00F31261" w:rsidRDefault="00BC1F93" w:rsidP="00690CF9">
            <w:pPr>
              <w:spacing w:line="240" w:lineRule="auto"/>
              <w:rPr>
                <w:rFonts w:cs="Arial"/>
                <w:b/>
                <w:szCs w:val="24"/>
              </w:rPr>
            </w:pPr>
            <w:r>
              <w:rPr>
                <w:rFonts w:cs="Arial"/>
                <w:b/>
                <w:szCs w:val="24"/>
              </w:rPr>
              <w:t>Provides Protection Against</w:t>
            </w:r>
          </w:p>
        </w:tc>
      </w:tr>
      <w:tr w:rsidR="00BC1F93" w:rsidRPr="007E40A8" w14:paraId="3AC64F89" w14:textId="77777777" w:rsidTr="00BC1F93">
        <w:trPr>
          <w:trHeight w:val="712"/>
        </w:trPr>
        <w:tc>
          <w:tcPr>
            <w:tcW w:w="1818" w:type="dxa"/>
            <w:vAlign w:val="center"/>
          </w:tcPr>
          <w:p w14:paraId="7302D5A5" w14:textId="2763FD33" w:rsidR="00BC1F93" w:rsidRPr="00794218" w:rsidRDefault="00BC1F93" w:rsidP="00BC1F93">
            <w:pPr>
              <w:spacing w:line="240" w:lineRule="auto"/>
            </w:pPr>
            <w:r>
              <w:t>6 weeks</w:t>
            </w:r>
          </w:p>
        </w:tc>
        <w:tc>
          <w:tcPr>
            <w:tcW w:w="4218" w:type="dxa"/>
            <w:vAlign w:val="center"/>
          </w:tcPr>
          <w:p w14:paraId="7227DAD9" w14:textId="77777777" w:rsidR="00BC1F93" w:rsidRPr="00F31261" w:rsidRDefault="00BC1F93" w:rsidP="00BC1F93">
            <w:pPr>
              <w:spacing w:line="240" w:lineRule="auto"/>
              <w:rPr>
                <w:szCs w:val="24"/>
                <w:lang w:val="en-US"/>
              </w:rPr>
            </w:pPr>
            <w:r w:rsidRPr="00F31261">
              <w:rPr>
                <w:szCs w:val="24"/>
                <w:lang w:val="en-US"/>
              </w:rPr>
              <w:t>Protech C3 (subcutaneous)</w:t>
            </w:r>
          </w:p>
          <w:p w14:paraId="608CAFCF" w14:textId="7E03BD06" w:rsidR="00BC1F93" w:rsidRPr="00F31261" w:rsidRDefault="00BC1F93" w:rsidP="00BC1F93">
            <w:pPr>
              <w:spacing w:line="240" w:lineRule="auto"/>
              <w:rPr>
                <w:szCs w:val="24"/>
              </w:rPr>
            </w:pPr>
            <w:r w:rsidRPr="00F31261">
              <w:rPr>
                <w:szCs w:val="24"/>
                <w:lang w:val="en-US"/>
              </w:rPr>
              <w:t>Protech C2i (subcutaneous)</w:t>
            </w:r>
          </w:p>
        </w:tc>
        <w:tc>
          <w:tcPr>
            <w:tcW w:w="4110" w:type="dxa"/>
            <w:vAlign w:val="center"/>
          </w:tcPr>
          <w:p w14:paraId="104178DC" w14:textId="0E48D4C0" w:rsidR="00BC1F93" w:rsidRPr="00794218" w:rsidRDefault="00BC1F93" w:rsidP="00BC1F93">
            <w:pPr>
              <w:spacing w:line="240" w:lineRule="auto"/>
            </w:pPr>
            <w:r w:rsidRPr="00794218">
              <w:t xml:space="preserve">Parvovirus, Distemper, Hepatitis, </w:t>
            </w:r>
            <w:r>
              <w:t>Leptospirosis</w:t>
            </w:r>
            <w:r w:rsidRPr="00794218">
              <w:t xml:space="preserve">, </w:t>
            </w:r>
            <w:r>
              <w:t>Coronavirus</w:t>
            </w:r>
          </w:p>
        </w:tc>
      </w:tr>
      <w:tr w:rsidR="00BC1F93" w:rsidRPr="007E40A8" w14:paraId="6E1A518E" w14:textId="77777777" w:rsidTr="00BC1F93">
        <w:trPr>
          <w:trHeight w:val="977"/>
        </w:trPr>
        <w:tc>
          <w:tcPr>
            <w:tcW w:w="1818" w:type="dxa"/>
            <w:vAlign w:val="center"/>
          </w:tcPr>
          <w:p w14:paraId="64E61CC6" w14:textId="3D2762B7" w:rsidR="00BC1F93" w:rsidRPr="00794218" w:rsidRDefault="00BC1F93" w:rsidP="00BC1F93">
            <w:pPr>
              <w:spacing w:line="240" w:lineRule="auto"/>
            </w:pPr>
            <w:r>
              <w:t>10 weeks</w:t>
            </w:r>
          </w:p>
        </w:tc>
        <w:tc>
          <w:tcPr>
            <w:tcW w:w="4218" w:type="dxa"/>
            <w:vAlign w:val="center"/>
          </w:tcPr>
          <w:p w14:paraId="3EFBD0C8" w14:textId="77777777" w:rsidR="00BC1F93" w:rsidRPr="00F31261" w:rsidRDefault="00BC1F93" w:rsidP="00BC1F93">
            <w:pPr>
              <w:spacing w:line="240" w:lineRule="auto"/>
              <w:rPr>
                <w:szCs w:val="24"/>
                <w:lang w:val="en-US"/>
              </w:rPr>
            </w:pPr>
            <w:r w:rsidRPr="00F31261">
              <w:rPr>
                <w:szCs w:val="24"/>
                <w:lang w:val="en-US"/>
              </w:rPr>
              <w:t>Protech C3 (subcutaneous)</w:t>
            </w:r>
          </w:p>
          <w:p w14:paraId="5D856E1C" w14:textId="77777777" w:rsidR="00BC1F93" w:rsidRPr="00F31261" w:rsidRDefault="00BC1F93" w:rsidP="00BC1F93">
            <w:pPr>
              <w:spacing w:line="240" w:lineRule="auto"/>
              <w:rPr>
                <w:szCs w:val="24"/>
                <w:lang w:val="en-US"/>
              </w:rPr>
            </w:pPr>
            <w:r w:rsidRPr="00F31261">
              <w:rPr>
                <w:szCs w:val="24"/>
                <w:lang w:val="en-US"/>
              </w:rPr>
              <w:t>Protech C2i (subcutaneous)</w:t>
            </w:r>
          </w:p>
          <w:p w14:paraId="42D7A8E6" w14:textId="62DDFFC3" w:rsidR="00BC1F93" w:rsidRPr="00F31261" w:rsidRDefault="00BC1F93" w:rsidP="00BC1F93">
            <w:pPr>
              <w:spacing w:line="240" w:lineRule="auto"/>
              <w:rPr>
                <w:szCs w:val="24"/>
              </w:rPr>
            </w:pPr>
            <w:r w:rsidRPr="00F31261">
              <w:rPr>
                <w:szCs w:val="24"/>
                <w:lang w:val="en-US"/>
              </w:rPr>
              <w:t>Protech Bronchi-shield III (intranasal)</w:t>
            </w:r>
          </w:p>
        </w:tc>
        <w:tc>
          <w:tcPr>
            <w:tcW w:w="4110" w:type="dxa"/>
            <w:vAlign w:val="center"/>
          </w:tcPr>
          <w:p w14:paraId="79E820DF" w14:textId="61390A19" w:rsidR="00BC1F93" w:rsidRDefault="00BC1F93" w:rsidP="00BC1F93">
            <w:pPr>
              <w:spacing w:line="240" w:lineRule="auto"/>
            </w:pPr>
            <w:r w:rsidRPr="00794218">
              <w:t>Parvovirus, Distemper, Hepatitis,</w:t>
            </w:r>
          </w:p>
          <w:p w14:paraId="59420020" w14:textId="77777777" w:rsidR="00BC1F93" w:rsidRDefault="00BC1F93" w:rsidP="00BC1F93">
            <w:pPr>
              <w:spacing w:line="240" w:lineRule="auto"/>
            </w:pPr>
            <w:r>
              <w:t>Leptospirosis</w:t>
            </w:r>
            <w:r w:rsidRPr="00794218">
              <w:t xml:space="preserve">, </w:t>
            </w:r>
            <w:r>
              <w:t>Coronavirus,</w:t>
            </w:r>
          </w:p>
          <w:p w14:paraId="6A843CB8" w14:textId="540BA1DE" w:rsidR="00BC1F93" w:rsidRPr="00794218" w:rsidRDefault="00BC1F93" w:rsidP="00BC1F93">
            <w:pPr>
              <w:spacing w:line="240" w:lineRule="auto"/>
            </w:pPr>
            <w:r w:rsidRPr="00794218">
              <w:t>Kennel Cough, Para influenza</w:t>
            </w:r>
          </w:p>
        </w:tc>
      </w:tr>
      <w:tr w:rsidR="00BC1F93" w:rsidRPr="007E40A8" w14:paraId="5B0F37DC" w14:textId="77777777" w:rsidTr="00BC1F93">
        <w:trPr>
          <w:trHeight w:val="424"/>
        </w:trPr>
        <w:tc>
          <w:tcPr>
            <w:tcW w:w="1818" w:type="dxa"/>
            <w:vAlign w:val="center"/>
          </w:tcPr>
          <w:p w14:paraId="02B7B850" w14:textId="5E6C8271" w:rsidR="00BC1F93" w:rsidRPr="00794218" w:rsidRDefault="00BC1F93" w:rsidP="00BC1F93">
            <w:pPr>
              <w:spacing w:line="240" w:lineRule="auto"/>
            </w:pPr>
            <w:r>
              <w:t>14-16 weeks</w:t>
            </w:r>
          </w:p>
        </w:tc>
        <w:tc>
          <w:tcPr>
            <w:tcW w:w="4218" w:type="dxa"/>
            <w:vAlign w:val="center"/>
          </w:tcPr>
          <w:p w14:paraId="5D269520" w14:textId="0A362436" w:rsidR="00BC1F93" w:rsidRPr="00F31261" w:rsidRDefault="00BC1F93" w:rsidP="00BC1F93">
            <w:pPr>
              <w:spacing w:line="240" w:lineRule="auto"/>
              <w:rPr>
                <w:szCs w:val="24"/>
              </w:rPr>
            </w:pPr>
            <w:r w:rsidRPr="00F31261">
              <w:rPr>
                <w:szCs w:val="24"/>
                <w:lang w:val="en-US"/>
              </w:rPr>
              <w:t>Protech C3 (subcutaneous)</w:t>
            </w:r>
          </w:p>
        </w:tc>
        <w:tc>
          <w:tcPr>
            <w:tcW w:w="4110" w:type="dxa"/>
            <w:vAlign w:val="center"/>
          </w:tcPr>
          <w:p w14:paraId="2C33D215" w14:textId="3BFCCDC8" w:rsidR="00BC1F93" w:rsidRPr="00794218" w:rsidRDefault="00BC1F93" w:rsidP="00BC1F93">
            <w:pPr>
              <w:spacing w:line="240" w:lineRule="auto"/>
            </w:pPr>
            <w:r w:rsidRPr="00794218">
              <w:t>P</w:t>
            </w:r>
            <w:r>
              <w:t>arvovirus, Distemper, Hepatitis</w:t>
            </w:r>
          </w:p>
        </w:tc>
      </w:tr>
    </w:tbl>
    <w:p w14:paraId="56683C56" w14:textId="77777777" w:rsidR="00BC1F93" w:rsidRDefault="00BC1F93" w:rsidP="005F44EA">
      <w:pPr>
        <w:pStyle w:val="numbered"/>
        <w:numPr>
          <w:ilvl w:val="0"/>
          <w:numId w:val="0"/>
        </w:numPr>
        <w:rPr>
          <w:rStyle w:val="BookTitle"/>
          <w:b w:val="0"/>
          <w:i w:val="0"/>
        </w:rPr>
      </w:pPr>
    </w:p>
    <w:p w14:paraId="2B442F29" w14:textId="77777777" w:rsidR="00BC1F93" w:rsidRDefault="00BC1F93" w:rsidP="00BC1F93">
      <w:pPr>
        <w:rPr>
          <w:rFonts w:cs="Arial"/>
        </w:rPr>
      </w:pPr>
      <w:r>
        <w:rPr>
          <w:rFonts w:cs="Arial"/>
        </w:rPr>
        <w:lastRenderedPageBreak/>
        <w:t xml:space="preserve">Although pups at 14-16 weeks of age have had their final booster vaccination, it takes approximately 10 days for their body to build up immunity to these diseases. As such, pups should not be exposed to environments that may harbour these diseases (e.g. places where unvaccinated dogs may urinate and defecate), until 10 days after vaccination. </w:t>
      </w:r>
    </w:p>
    <w:p w14:paraId="5A099472" w14:textId="5EE97F3F" w:rsidR="009F1A45" w:rsidRDefault="00BC1F93" w:rsidP="009F1A45">
      <w:pPr>
        <w:rPr>
          <w:rFonts w:cs="Arial"/>
        </w:rPr>
      </w:pPr>
      <w:r>
        <w:rPr>
          <w:rFonts w:cs="Arial"/>
        </w:rPr>
        <w:t>Prior to the pup developing full immunity, if visiting the homes of family or friends with dogs, you may take the pup along to socialise as long as the resident dogs are fully vaccinated.</w:t>
      </w:r>
    </w:p>
    <w:p w14:paraId="3EC38C99" w14:textId="49AFB75A" w:rsidR="009F1A45" w:rsidRDefault="009F1A45" w:rsidP="009F1A45">
      <w:pPr>
        <w:rPr>
          <w:rFonts w:cs="Arial"/>
        </w:rPr>
      </w:pPr>
    </w:p>
    <w:p w14:paraId="7519CE03" w14:textId="61CEA308" w:rsidR="009F1A45" w:rsidRDefault="009F1A45" w:rsidP="009F1A45">
      <w:pPr>
        <w:rPr>
          <w:rStyle w:val="BookTitle"/>
          <w:rFonts w:cs="Arial"/>
          <w:b w:val="0"/>
          <w:bCs w:val="0"/>
          <w:i w:val="0"/>
          <w:iCs w:val="0"/>
          <w:noProof/>
          <w:spacing w:val="0"/>
          <w:lang w:eastAsia="en-AU"/>
        </w:rPr>
      </w:pPr>
      <w:r>
        <w:rPr>
          <w:rStyle w:val="BookTitle"/>
          <w:rFonts w:cs="Arial"/>
          <w:b w:val="0"/>
          <w:bCs w:val="0"/>
          <w:i w:val="0"/>
          <w:iCs w:val="0"/>
          <w:noProof/>
          <w:spacing w:val="0"/>
          <w:lang w:eastAsia="en-AU"/>
        </w:rPr>
        <w:drawing>
          <wp:inline distT="0" distB="0" distL="0" distR="0" wp14:anchorId="019E5036" wp14:editId="4544F1E1">
            <wp:extent cx="1566863" cy="2399502"/>
            <wp:effectExtent l="0" t="0" r="0" b="1270"/>
            <wp:docPr id="1" name="Picture 1" descr="A glass vial with a green lid. A label on the front of the bottle names its contents as Protech 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5775" cy="2413150"/>
                    </a:xfrm>
                    <a:prstGeom prst="rect">
                      <a:avLst/>
                    </a:prstGeom>
                    <a:noFill/>
                  </pic:spPr>
                </pic:pic>
              </a:graphicData>
            </a:graphic>
          </wp:inline>
        </w:drawing>
      </w:r>
      <w:r>
        <w:rPr>
          <w:rStyle w:val="BookTitle"/>
          <w:rFonts w:cs="Arial"/>
          <w:b w:val="0"/>
          <w:bCs w:val="0"/>
          <w:i w:val="0"/>
          <w:iCs w:val="0"/>
          <w:spacing w:val="0"/>
        </w:rPr>
        <w:tab/>
      </w:r>
      <w:r>
        <w:rPr>
          <w:rFonts w:cs="Arial"/>
          <w:noProof/>
          <w:lang w:eastAsia="en-AU"/>
        </w:rPr>
        <w:drawing>
          <wp:inline distT="0" distB="0" distL="0" distR="0" wp14:anchorId="6B457C5E" wp14:editId="232E7D04">
            <wp:extent cx="1243013" cy="2385373"/>
            <wp:effectExtent l="0" t="0" r="0" b="0"/>
            <wp:docPr id="4" name="Picture 4" descr="A glass vial with a red lid. A label on the front of the bottle names its contents as Protech Bronchi-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illiams\AppData\Local\Microsoft\Windows\INetCache\Content.MSO\DD052EC2.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3292" cy="2481859"/>
                    </a:xfrm>
                    <a:prstGeom prst="rect">
                      <a:avLst/>
                    </a:prstGeom>
                    <a:noFill/>
                    <a:ln>
                      <a:noFill/>
                    </a:ln>
                  </pic:spPr>
                </pic:pic>
              </a:graphicData>
            </a:graphic>
          </wp:inline>
        </w:drawing>
      </w:r>
      <w:r>
        <w:rPr>
          <w:rStyle w:val="BookTitle"/>
          <w:rFonts w:cs="Arial"/>
          <w:b w:val="0"/>
          <w:bCs w:val="0"/>
          <w:i w:val="0"/>
          <w:iCs w:val="0"/>
          <w:noProof/>
          <w:spacing w:val="0"/>
          <w:lang w:eastAsia="en-AU"/>
        </w:rPr>
        <w:tab/>
      </w:r>
      <w:r>
        <w:rPr>
          <w:rStyle w:val="BookTitle"/>
          <w:rFonts w:cs="Arial"/>
          <w:b w:val="0"/>
          <w:bCs w:val="0"/>
          <w:i w:val="0"/>
          <w:iCs w:val="0"/>
          <w:noProof/>
          <w:spacing w:val="0"/>
          <w:lang w:eastAsia="en-AU"/>
        </w:rPr>
        <w:drawing>
          <wp:inline distT="0" distB="0" distL="0" distR="0" wp14:anchorId="01952C71" wp14:editId="52D689FF">
            <wp:extent cx="1482817" cy="2393022"/>
            <wp:effectExtent l="0" t="0" r="3175" b="7620"/>
            <wp:docPr id="3" name="Picture 3" descr="A glass vial with a black lid. A label on the front of the bottle names its contents as Protech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072" cy="2412799"/>
                    </a:xfrm>
                    <a:prstGeom prst="rect">
                      <a:avLst/>
                    </a:prstGeom>
                    <a:noFill/>
                  </pic:spPr>
                </pic:pic>
              </a:graphicData>
            </a:graphic>
          </wp:inline>
        </w:drawing>
      </w:r>
    </w:p>
    <w:p w14:paraId="4F516563" w14:textId="0D61DA7C" w:rsidR="009F1A45" w:rsidRPr="009F1A45" w:rsidRDefault="009F1A45" w:rsidP="009F1A45">
      <w:pPr>
        <w:rPr>
          <w:rStyle w:val="BookTitle"/>
          <w:rFonts w:cs="Arial"/>
          <w:b w:val="0"/>
          <w:bCs w:val="0"/>
          <w:i w:val="0"/>
          <w:iCs w:val="0"/>
          <w:spacing w:val="0"/>
        </w:rPr>
      </w:pPr>
    </w:p>
    <w:sectPr w:rsidR="009F1A45" w:rsidRPr="009F1A45" w:rsidSect="005F44EA">
      <w:footerReference w:type="default" r:id="rId14"/>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FE165" w14:textId="77777777" w:rsidR="00A96A95" w:rsidRDefault="00A96A95" w:rsidP="00C468A9">
      <w:pPr>
        <w:spacing w:line="240" w:lineRule="auto"/>
      </w:pPr>
      <w:r>
        <w:separator/>
      </w:r>
    </w:p>
  </w:endnote>
  <w:endnote w:type="continuationSeparator" w:id="0">
    <w:p w14:paraId="29C71227" w14:textId="77777777" w:rsidR="00A96A95" w:rsidRDefault="00A96A95" w:rsidP="00C46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7BFCF" w14:textId="731C0B29" w:rsidR="00C468A9" w:rsidRPr="00C468A9" w:rsidRDefault="00C468A9">
    <w:pPr>
      <w:pStyle w:val="Footer"/>
      <w:rPr>
        <w:lang w:val="en-US"/>
      </w:rPr>
    </w:pPr>
    <w:r>
      <w:rPr>
        <w:lang w:val="en-US"/>
      </w:rPr>
      <w:t xml:space="preserve">Page </w:t>
    </w:r>
    <w:r w:rsidR="00A13FBB" w:rsidRPr="00A13FBB">
      <w:rPr>
        <w:lang w:val="en-US"/>
      </w:rPr>
      <w:fldChar w:fldCharType="begin"/>
    </w:r>
    <w:r w:rsidR="00A13FBB" w:rsidRPr="00A13FBB">
      <w:rPr>
        <w:lang w:val="en-US"/>
      </w:rPr>
      <w:instrText xml:space="preserve"> PAGE   \* MERGEFORMAT </w:instrText>
    </w:r>
    <w:r w:rsidR="00A13FBB" w:rsidRPr="00A13FBB">
      <w:rPr>
        <w:lang w:val="en-US"/>
      </w:rPr>
      <w:fldChar w:fldCharType="separate"/>
    </w:r>
    <w:r w:rsidR="00CE66B5">
      <w:rPr>
        <w:noProof/>
        <w:lang w:val="en-US"/>
      </w:rPr>
      <w:t>1</w:t>
    </w:r>
    <w:r w:rsidR="00A13FBB" w:rsidRPr="00A13FBB">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E5B99" w14:textId="77777777" w:rsidR="00A96A95" w:rsidRDefault="00A96A95" w:rsidP="00C468A9">
      <w:pPr>
        <w:spacing w:line="240" w:lineRule="auto"/>
      </w:pPr>
      <w:r>
        <w:separator/>
      </w:r>
    </w:p>
  </w:footnote>
  <w:footnote w:type="continuationSeparator" w:id="0">
    <w:p w14:paraId="3AB7A30C" w14:textId="77777777" w:rsidR="00A96A95" w:rsidRDefault="00A96A95" w:rsidP="00C468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785D"/>
    <w:multiLevelType w:val="hybridMultilevel"/>
    <w:tmpl w:val="A790EBF6"/>
    <w:lvl w:ilvl="0" w:tplc="3678F8E6">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DC135E"/>
    <w:multiLevelType w:val="hybridMultilevel"/>
    <w:tmpl w:val="74045EC0"/>
    <w:lvl w:ilvl="0" w:tplc="5296DBF4">
      <w:start w:val="1"/>
      <w:numFmt w:val="decimal"/>
      <w:pStyle w:val="numbered"/>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A9"/>
    <w:rsid w:val="00076816"/>
    <w:rsid w:val="00320BF4"/>
    <w:rsid w:val="00370E2C"/>
    <w:rsid w:val="0041348E"/>
    <w:rsid w:val="00443143"/>
    <w:rsid w:val="00534AFC"/>
    <w:rsid w:val="005F44EA"/>
    <w:rsid w:val="00694418"/>
    <w:rsid w:val="009F1A45"/>
    <w:rsid w:val="00A13FBB"/>
    <w:rsid w:val="00A96A95"/>
    <w:rsid w:val="00BC1F93"/>
    <w:rsid w:val="00BD49E5"/>
    <w:rsid w:val="00C468A9"/>
    <w:rsid w:val="00CE66B5"/>
    <w:rsid w:val="00D3181C"/>
    <w:rsid w:val="00D75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0A80"/>
  <w15:chartTrackingRefBased/>
  <w15:docId w15:val="{39467DE7-6B31-4304-BD6F-2459BEE3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43"/>
    <w:pPr>
      <w:spacing w:after="0" w:line="360" w:lineRule="auto"/>
    </w:pPr>
    <w:rPr>
      <w:rFonts w:ascii="Arial" w:hAnsi="Arial"/>
      <w:sz w:val="24"/>
    </w:rPr>
  </w:style>
  <w:style w:type="paragraph" w:styleId="Heading1">
    <w:name w:val="heading 1"/>
    <w:basedOn w:val="Normal"/>
    <w:next w:val="Normal"/>
    <w:link w:val="Heading1Char"/>
    <w:uiPriority w:val="9"/>
    <w:qFormat/>
    <w:rsid w:val="00C468A9"/>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468A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468A9"/>
    <w:pPr>
      <w:keepNext/>
      <w:keepLines/>
      <w:spacing w:before="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68A9"/>
    <w:pPr>
      <w:spacing w:before="240"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468A9"/>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C468A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468A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468A9"/>
    <w:rPr>
      <w:rFonts w:ascii="Arial" w:eastAsiaTheme="majorEastAsia" w:hAnsi="Arial" w:cstheme="majorBidi"/>
      <w:b/>
      <w:sz w:val="24"/>
      <w:szCs w:val="24"/>
    </w:rPr>
  </w:style>
  <w:style w:type="paragraph" w:styleId="Header">
    <w:name w:val="header"/>
    <w:basedOn w:val="Normal"/>
    <w:link w:val="HeaderChar"/>
    <w:uiPriority w:val="99"/>
    <w:unhideWhenUsed/>
    <w:rsid w:val="00C468A9"/>
    <w:pPr>
      <w:tabs>
        <w:tab w:val="center" w:pos="4513"/>
        <w:tab w:val="right" w:pos="9026"/>
      </w:tabs>
      <w:spacing w:line="240" w:lineRule="auto"/>
    </w:pPr>
  </w:style>
  <w:style w:type="character" w:customStyle="1" w:styleId="HeaderChar">
    <w:name w:val="Header Char"/>
    <w:basedOn w:val="DefaultParagraphFont"/>
    <w:link w:val="Header"/>
    <w:uiPriority w:val="99"/>
    <w:rsid w:val="00C468A9"/>
    <w:rPr>
      <w:rFonts w:ascii="Arial" w:hAnsi="Arial"/>
      <w:sz w:val="24"/>
    </w:rPr>
  </w:style>
  <w:style w:type="paragraph" w:styleId="Footer">
    <w:name w:val="footer"/>
    <w:basedOn w:val="Normal"/>
    <w:link w:val="FooterChar"/>
    <w:uiPriority w:val="99"/>
    <w:unhideWhenUsed/>
    <w:rsid w:val="00C468A9"/>
    <w:pPr>
      <w:tabs>
        <w:tab w:val="center" w:pos="4513"/>
        <w:tab w:val="right" w:pos="9026"/>
      </w:tabs>
      <w:spacing w:line="240" w:lineRule="auto"/>
    </w:pPr>
  </w:style>
  <w:style w:type="character" w:customStyle="1" w:styleId="FooterChar">
    <w:name w:val="Footer Char"/>
    <w:basedOn w:val="DefaultParagraphFont"/>
    <w:link w:val="Footer"/>
    <w:uiPriority w:val="99"/>
    <w:rsid w:val="00C468A9"/>
    <w:rPr>
      <w:rFonts w:ascii="Arial" w:hAnsi="Arial"/>
      <w:sz w:val="24"/>
    </w:rPr>
  </w:style>
  <w:style w:type="paragraph" w:styleId="NoSpacing">
    <w:name w:val="No Spacing"/>
    <w:aliases w:val="bullet"/>
    <w:uiPriority w:val="1"/>
    <w:qFormat/>
    <w:rsid w:val="00076816"/>
    <w:pPr>
      <w:numPr>
        <w:numId w:val="1"/>
      </w:numPr>
      <w:spacing w:after="0" w:line="360" w:lineRule="auto"/>
    </w:pPr>
    <w:rPr>
      <w:rFonts w:ascii="Arial" w:hAnsi="Arial"/>
      <w:sz w:val="24"/>
    </w:rPr>
  </w:style>
  <w:style w:type="character" w:styleId="BookTitle">
    <w:name w:val="Book Title"/>
    <w:basedOn w:val="DefaultParagraphFont"/>
    <w:uiPriority w:val="33"/>
    <w:qFormat/>
    <w:rsid w:val="00443143"/>
    <w:rPr>
      <w:b/>
      <w:bCs/>
      <w:i/>
      <w:iCs/>
      <w:spacing w:val="5"/>
    </w:rPr>
  </w:style>
  <w:style w:type="paragraph" w:customStyle="1" w:styleId="numbered">
    <w:name w:val="numbered"/>
    <w:basedOn w:val="NoSpacing"/>
    <w:qFormat/>
    <w:rsid w:val="0044314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DA Branded Colours">
      <a:dk1>
        <a:srgbClr val="282829"/>
      </a:dk1>
      <a:lt1>
        <a:srgbClr val="FFFFFF"/>
      </a:lt1>
      <a:dk2>
        <a:srgbClr val="FF6E33"/>
      </a:dk2>
      <a:lt2>
        <a:srgbClr val="E7E6E6"/>
      </a:lt2>
      <a:accent1>
        <a:srgbClr val="01B483"/>
      </a:accent1>
      <a:accent2>
        <a:srgbClr val="FCBBE0"/>
      </a:accent2>
      <a:accent3>
        <a:srgbClr val="A3DBDF"/>
      </a:accent3>
      <a:accent4>
        <a:srgbClr val="E2DEDD"/>
      </a:accent4>
      <a:accent5>
        <a:srgbClr val="FEA18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3DE9FC2F3B849B165C5560818F8A1" ma:contentTypeVersion="12" ma:contentTypeDescription="Create a new document." ma:contentTypeScope="" ma:versionID="ae9e5a680a4015921fe8390dab5dcaa7">
  <xsd:schema xmlns:xsd="http://www.w3.org/2001/XMLSchema" xmlns:xs="http://www.w3.org/2001/XMLSchema" xmlns:p="http://schemas.microsoft.com/office/2006/metadata/properties" xmlns:ns2="70761ee1-be83-4b0a-822c-cf4eba848a20" xmlns:ns3="34db770b-0e8d-48d8-a700-136f0c046acb" targetNamespace="http://schemas.microsoft.com/office/2006/metadata/properties" ma:root="true" ma:fieldsID="d2dbe267779849a28d548bb1683850ac" ns2:_="" ns3:_="">
    <xsd:import namespace="70761ee1-be83-4b0a-822c-cf4eba848a20"/>
    <xsd:import namespace="34db770b-0e8d-48d8-a700-136f0c046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61ee1-be83-4b0a-822c-cf4eba848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b770b-0e8d-48d8-a700-136f0c046a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EB670-686D-4BC2-A4D7-14297D6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61ee1-be83-4b0a-822c-cf4eba848a20"/>
    <ds:schemaRef ds:uri="34db770b-0e8d-48d8-a700-136f0c046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A4BFA-D011-4EED-BD2C-0AE372FE90AB}">
  <ds:schemaRefs>
    <ds:schemaRef ds:uri="http://purl.org/dc/elements/1.1/"/>
    <ds:schemaRef ds:uri="70761ee1-be83-4b0a-822c-cf4eba848a2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34db770b-0e8d-48d8-a700-136f0c046acb"/>
    <ds:schemaRef ds:uri="http://www.w3.org/XML/1998/namespace"/>
    <ds:schemaRef ds:uri="http://purl.org/dc/dcmitype/"/>
  </ds:schemaRefs>
</ds:datastoreItem>
</file>

<file path=customXml/itemProps3.xml><?xml version="1.0" encoding="utf-8"?>
<ds:datastoreItem xmlns:ds="http://schemas.openxmlformats.org/officeDocument/2006/customXml" ds:itemID="{D823F247-8561-4C7E-8B98-4A4F28B9C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v7 - Vaccinations - Final accessible</Template>
  <TotalTime>1</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Naomi Moore</cp:lastModifiedBy>
  <cp:revision>2</cp:revision>
  <dcterms:created xsi:type="dcterms:W3CDTF">2022-04-28T04:56:00Z</dcterms:created>
  <dcterms:modified xsi:type="dcterms:W3CDTF">2022-04-28T04:56:00Z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0x01010059E3DE9FC2F3B849B165C5560818F8A1</vt:lpwstr>
  </property>
</Properties>
</file>